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7DA" w:rsidRDefault="00BA37DA" w:rsidP="00E540FA">
      <w:pPr>
        <w:jc w:val="center"/>
        <w:rPr>
          <w:rFonts w:ascii="Times New Roman" w:eastAsia="Times New Roman" w:hAnsi="Times New Roman" w:cs="Times New Roman"/>
          <w:b/>
          <w:sz w:val="24"/>
          <w:szCs w:val="24"/>
        </w:rPr>
      </w:pPr>
    </w:p>
    <w:p w:rsidR="007E261E" w:rsidRDefault="00F3524C" w:rsidP="00E540F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EDITAL 08/2021/PROEX/IFG</w:t>
      </w:r>
    </w:p>
    <w:p w:rsidR="00BA37DA" w:rsidRDefault="00BA37DA" w:rsidP="00E540FA">
      <w:pPr>
        <w:rPr>
          <w:rFonts w:ascii="Times New Roman" w:eastAsia="Times New Roman" w:hAnsi="Times New Roman" w:cs="Times New Roman"/>
          <w:b/>
          <w:sz w:val="24"/>
          <w:szCs w:val="24"/>
        </w:rPr>
      </w:pPr>
    </w:p>
    <w:p w:rsidR="007E261E" w:rsidRDefault="00F3524C" w:rsidP="00E540F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TERMO DE CONCESSÃO E ACEITAÇÃO DE AUXÍLIO FINANCEIRO</w:t>
      </w:r>
    </w:p>
    <w:p w:rsidR="007E261E" w:rsidRDefault="00F3524C" w:rsidP="00E540FA">
      <w:pPr>
        <w:pBdr>
          <w:top w:val="nil"/>
          <w:left w:val="nil"/>
          <w:bottom w:val="nil"/>
          <w:right w:val="nil"/>
          <w:between w:val="nil"/>
        </w:pBdr>
        <w:tabs>
          <w:tab w:val="left" w:pos="56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Fomento e apoio para desenvolvimento de Ações de Extensão/IFG</w:t>
      </w:r>
    </w:p>
    <w:p w:rsidR="007E261E" w:rsidRDefault="007E261E" w:rsidP="00E540FA">
      <w:pPr>
        <w:pBdr>
          <w:top w:val="nil"/>
          <w:left w:val="nil"/>
          <w:bottom w:val="nil"/>
          <w:right w:val="nil"/>
          <w:between w:val="nil"/>
        </w:pBdr>
        <w:ind w:left="333"/>
        <w:jc w:val="both"/>
        <w:rPr>
          <w:rFonts w:ascii="Times New Roman" w:eastAsia="Times New Roman" w:hAnsi="Times New Roman" w:cs="Times New Roman"/>
          <w:b/>
          <w:sz w:val="24"/>
          <w:szCs w:val="24"/>
        </w:rPr>
      </w:pPr>
    </w:p>
    <w:p w:rsidR="007E261E" w:rsidRDefault="00F3524C" w:rsidP="00E540FA">
      <w:pPr>
        <w:numPr>
          <w:ilvl w:val="0"/>
          <w:numId w:val="1"/>
        </w:numPr>
        <w:pBdr>
          <w:top w:val="nil"/>
          <w:left w:val="nil"/>
          <w:bottom w:val="nil"/>
          <w:right w:val="nil"/>
          <w:between w:val="nil"/>
        </w:pBdr>
        <w:tabs>
          <w:tab w:val="left" w:pos="479"/>
        </w:tabs>
        <w:spacing w:before="12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DAS OBRIGAÇÕES E COMPROMISSOS</w:t>
      </w:r>
    </w:p>
    <w:p w:rsidR="007E261E" w:rsidRDefault="00F3524C" w:rsidP="00E540FA">
      <w:pPr>
        <w:tabs>
          <w:tab w:val="left" w:pos="479"/>
        </w:tabs>
        <w:spacing w:before="120"/>
        <w:ind w:left="2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São obrigações e compromissos dos/as extensionistas do IFG com propostas aprovadas por meio do Edital 08/2021/PROEX/IFG:</w:t>
      </w:r>
    </w:p>
    <w:p w:rsidR="007E261E" w:rsidRDefault="00F3524C" w:rsidP="00E540FA">
      <w:pPr>
        <w:numPr>
          <w:ilvl w:val="1"/>
          <w:numId w:val="1"/>
        </w:numPr>
        <w:pBdr>
          <w:top w:val="nil"/>
          <w:left w:val="nil"/>
          <w:bottom w:val="nil"/>
          <w:right w:val="nil"/>
          <w:between w:val="nil"/>
        </w:pBdr>
        <w:tabs>
          <w:tab w:val="left" w:pos="751"/>
        </w:tabs>
        <w:spacing w:befor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Dedicar-se às atividades pertinentes à proposta aprovada;</w:t>
      </w:r>
    </w:p>
    <w:p w:rsidR="007E261E" w:rsidRDefault="00F3524C" w:rsidP="00E540FA">
      <w:pPr>
        <w:numPr>
          <w:ilvl w:val="1"/>
          <w:numId w:val="1"/>
        </w:numPr>
        <w:pBdr>
          <w:top w:val="nil"/>
          <w:left w:val="nil"/>
          <w:bottom w:val="nil"/>
          <w:right w:val="nil"/>
          <w:between w:val="nil"/>
        </w:pBdr>
        <w:tabs>
          <w:tab w:val="left" w:pos="751"/>
        </w:tabs>
        <w:spacing w:befor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Observar o disposto nas Leis nº 8.666/93 e nº 10.973/04, nos Decretos nº 93.8</w:t>
      </w:r>
      <w:r>
        <w:rPr>
          <w:rFonts w:ascii="Times New Roman" w:eastAsia="Times New Roman" w:hAnsi="Times New Roman" w:cs="Times New Roman"/>
          <w:sz w:val="24"/>
          <w:szCs w:val="24"/>
        </w:rPr>
        <w:t>72/86 e nº 5.563/05 e na Lei nº 8.112/90, no que couber, bem como os demais instrumentos legais pertinentes;</w:t>
      </w:r>
    </w:p>
    <w:p w:rsidR="007E261E" w:rsidRDefault="00F3524C" w:rsidP="00E540FA">
      <w:pPr>
        <w:numPr>
          <w:ilvl w:val="1"/>
          <w:numId w:val="1"/>
        </w:numPr>
        <w:pBdr>
          <w:top w:val="nil"/>
          <w:left w:val="nil"/>
          <w:bottom w:val="nil"/>
          <w:right w:val="nil"/>
          <w:between w:val="nil"/>
        </w:pBdr>
        <w:tabs>
          <w:tab w:val="left" w:pos="751"/>
        </w:tabs>
        <w:spacing w:befor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Conhecer e cumprir as exigências do Edital à qual a proposta está relacionada, como também as normas do IFG, ora em validade, relativas à modalidad</w:t>
      </w:r>
      <w:r>
        <w:rPr>
          <w:rFonts w:ascii="Times New Roman" w:eastAsia="Times New Roman" w:hAnsi="Times New Roman" w:cs="Times New Roman"/>
          <w:sz w:val="24"/>
          <w:szCs w:val="24"/>
        </w:rPr>
        <w:t>e de apoio financeiro aprovado, ciente que a eventual mudança dessas normas não afeta, altera ou incide sobre o presente documento, exceto quando proposta pelo IFG e formalmente aceita pelo BENEFICIÁRIO;</w:t>
      </w:r>
    </w:p>
    <w:p w:rsidR="007E261E" w:rsidRDefault="00F3524C" w:rsidP="00E540FA">
      <w:pPr>
        <w:numPr>
          <w:ilvl w:val="1"/>
          <w:numId w:val="1"/>
        </w:numPr>
        <w:pBdr>
          <w:top w:val="nil"/>
          <w:left w:val="nil"/>
          <w:bottom w:val="nil"/>
          <w:right w:val="nil"/>
          <w:between w:val="nil"/>
        </w:pBdr>
        <w:tabs>
          <w:tab w:val="left" w:pos="751"/>
        </w:tabs>
        <w:spacing w:befor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Responsabilizar-se pela adequada implementação e apl</w:t>
      </w:r>
      <w:r>
        <w:rPr>
          <w:rFonts w:ascii="Times New Roman" w:eastAsia="Times New Roman" w:hAnsi="Times New Roman" w:cs="Times New Roman"/>
          <w:sz w:val="24"/>
          <w:szCs w:val="24"/>
        </w:rPr>
        <w:t xml:space="preserve">icação dos recursos financeiros aprovados, atendendo aos aspectos normativos definidos para a(s) modalidade(s) concedida(s), podendo estar previsto apenas recursos </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e custeio, como também recursos para bolsas;</w:t>
      </w:r>
    </w:p>
    <w:p w:rsidR="007E261E" w:rsidRDefault="00F3524C" w:rsidP="00E540FA">
      <w:pPr>
        <w:numPr>
          <w:ilvl w:val="1"/>
          <w:numId w:val="1"/>
        </w:numPr>
        <w:pBdr>
          <w:top w:val="nil"/>
          <w:left w:val="nil"/>
          <w:bottom w:val="nil"/>
          <w:right w:val="nil"/>
          <w:between w:val="nil"/>
        </w:pBdr>
        <w:tabs>
          <w:tab w:val="left" w:pos="751"/>
        </w:tabs>
        <w:spacing w:befor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Utilizar os recursos financeiros em acordo com</w:t>
      </w:r>
      <w:r>
        <w:rPr>
          <w:rFonts w:ascii="Times New Roman" w:eastAsia="Times New Roman" w:hAnsi="Times New Roman" w:cs="Times New Roman"/>
          <w:sz w:val="24"/>
          <w:szCs w:val="24"/>
        </w:rPr>
        <w:t xml:space="preserve"> os critérios e procedimentos estabelecidos no Manual de Utilização de Recurso Financeiros e Prestação de Contas (</w:t>
      </w:r>
      <w:r>
        <w:rPr>
          <w:rFonts w:ascii="Times New Roman" w:eastAsia="Times New Roman" w:hAnsi="Times New Roman" w:cs="Times New Roman"/>
          <w:sz w:val="24"/>
          <w:szCs w:val="24"/>
        </w:rPr>
        <w:t>Anexo I)</w:t>
      </w:r>
      <w:r>
        <w:rPr>
          <w:rFonts w:ascii="Times New Roman" w:eastAsia="Times New Roman" w:hAnsi="Times New Roman" w:cs="Times New Roman"/>
          <w:sz w:val="24"/>
          <w:szCs w:val="24"/>
        </w:rPr>
        <w:t>;</w:t>
      </w:r>
    </w:p>
    <w:p w:rsidR="007E261E" w:rsidRDefault="00F3524C" w:rsidP="00E540FA">
      <w:pPr>
        <w:numPr>
          <w:ilvl w:val="1"/>
          <w:numId w:val="1"/>
        </w:numPr>
        <w:pBdr>
          <w:top w:val="nil"/>
          <w:left w:val="nil"/>
          <w:bottom w:val="nil"/>
          <w:right w:val="nil"/>
          <w:between w:val="nil"/>
        </w:pBdr>
        <w:tabs>
          <w:tab w:val="left" w:pos="751"/>
        </w:tabs>
        <w:spacing w:befor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Assumir todas as obrigações legais decorrentes de contratações eventuais necessárias à consecução do objeto, não tendo tais contrata</w:t>
      </w:r>
      <w:r>
        <w:rPr>
          <w:rFonts w:ascii="Times New Roman" w:eastAsia="Times New Roman" w:hAnsi="Times New Roman" w:cs="Times New Roman"/>
          <w:sz w:val="24"/>
          <w:szCs w:val="24"/>
        </w:rPr>
        <w:t>ções qualquer vínculo com o IFG;</w:t>
      </w:r>
    </w:p>
    <w:p w:rsidR="007E261E" w:rsidRDefault="00F3524C" w:rsidP="00E540FA">
      <w:pPr>
        <w:numPr>
          <w:ilvl w:val="1"/>
          <w:numId w:val="1"/>
        </w:numPr>
        <w:pBdr>
          <w:top w:val="nil"/>
          <w:left w:val="nil"/>
          <w:bottom w:val="nil"/>
          <w:right w:val="nil"/>
          <w:between w:val="nil"/>
        </w:pBdr>
        <w:tabs>
          <w:tab w:val="left" w:pos="751"/>
        </w:tabs>
        <w:spacing w:befor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Apresentar, nos prazos que lhe forem determinados, informações ou documentos referentes tanto ao desenvolvimento quanto à conclusão da ação de extensão ou plano de trabalho aprovado;</w:t>
      </w:r>
    </w:p>
    <w:p w:rsidR="007E261E" w:rsidRDefault="00F3524C" w:rsidP="00E540FA">
      <w:pPr>
        <w:numPr>
          <w:ilvl w:val="1"/>
          <w:numId w:val="1"/>
        </w:numPr>
        <w:pBdr>
          <w:top w:val="nil"/>
          <w:left w:val="nil"/>
          <w:bottom w:val="nil"/>
          <w:right w:val="nil"/>
          <w:between w:val="nil"/>
        </w:pBdr>
        <w:tabs>
          <w:tab w:val="left" w:pos="751"/>
        </w:tabs>
        <w:spacing w:befor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necessárias, propor alterações no pla</w:t>
      </w:r>
      <w:r>
        <w:rPr>
          <w:rFonts w:ascii="Times New Roman" w:eastAsia="Times New Roman" w:hAnsi="Times New Roman" w:cs="Times New Roman"/>
          <w:sz w:val="24"/>
          <w:szCs w:val="24"/>
        </w:rPr>
        <w:t xml:space="preserve">no de trabalho, sujeitas à prévia análise e autorização do IFG, que não implique remanejamento de despesas entre rubricas. </w:t>
      </w:r>
    </w:p>
    <w:p w:rsidR="007E261E" w:rsidRDefault="00F3524C" w:rsidP="00E540FA">
      <w:pPr>
        <w:numPr>
          <w:ilvl w:val="1"/>
          <w:numId w:val="1"/>
        </w:numPr>
        <w:pBdr>
          <w:top w:val="nil"/>
          <w:left w:val="nil"/>
          <w:bottom w:val="nil"/>
          <w:right w:val="nil"/>
          <w:between w:val="nil"/>
        </w:pBdr>
        <w:tabs>
          <w:tab w:val="left" w:pos="751"/>
        </w:tabs>
        <w:spacing w:befor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Apresentar a prestação de contas financeira em até 60 (sessenta) dias após o término da vigência da </w:t>
      </w:r>
      <w:r>
        <w:rPr>
          <w:rFonts w:ascii="Times New Roman" w:eastAsia="Times New Roman" w:hAnsi="Times New Roman" w:cs="Times New Roman"/>
          <w:sz w:val="24"/>
          <w:szCs w:val="24"/>
        </w:rPr>
        <w:t>ação</w:t>
      </w:r>
      <w:r>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extensão,</w:t>
      </w:r>
      <w:r>
        <w:rPr>
          <w:rFonts w:ascii="Times New Roman" w:eastAsia="Times New Roman" w:hAnsi="Times New Roman" w:cs="Times New Roman"/>
          <w:sz w:val="24"/>
          <w:szCs w:val="24"/>
        </w:rPr>
        <w:t xml:space="preserve"> em conformidad</w:t>
      </w:r>
      <w:r>
        <w:rPr>
          <w:rFonts w:ascii="Times New Roman" w:eastAsia="Times New Roman" w:hAnsi="Times New Roman" w:cs="Times New Roman"/>
          <w:sz w:val="24"/>
          <w:szCs w:val="24"/>
        </w:rPr>
        <w:t>e com o disposto no Manual de Utilização de Recursos Financeiros e Prestação de Contas;</w:t>
      </w:r>
    </w:p>
    <w:p w:rsidR="007E261E" w:rsidRDefault="00F3524C" w:rsidP="00E540FA">
      <w:pPr>
        <w:numPr>
          <w:ilvl w:val="0"/>
          <w:numId w:val="1"/>
        </w:numPr>
        <w:pBdr>
          <w:top w:val="nil"/>
          <w:left w:val="nil"/>
          <w:bottom w:val="nil"/>
          <w:right w:val="nil"/>
          <w:between w:val="nil"/>
        </w:pBdr>
        <w:tabs>
          <w:tab w:val="left" w:pos="460"/>
        </w:tabs>
        <w:spacing w:before="360" w:after="120"/>
        <w:ind w:left="357" w:hanging="357"/>
        <w:rPr>
          <w:rFonts w:ascii="Times New Roman" w:eastAsia="Times New Roman" w:hAnsi="Times New Roman" w:cs="Times New Roman"/>
          <w:b/>
          <w:sz w:val="24"/>
          <w:szCs w:val="24"/>
        </w:rPr>
      </w:pPr>
      <w:r>
        <w:rPr>
          <w:rFonts w:ascii="Times New Roman" w:eastAsia="Times New Roman" w:hAnsi="Times New Roman" w:cs="Times New Roman"/>
          <w:b/>
          <w:sz w:val="24"/>
          <w:szCs w:val="24"/>
        </w:rPr>
        <w:t>DAS PUBLICAÇÕES E DIVULGAÇÃO</w:t>
      </w:r>
    </w:p>
    <w:p w:rsidR="007E261E" w:rsidRDefault="00F3524C" w:rsidP="00E540FA">
      <w:pPr>
        <w:numPr>
          <w:ilvl w:val="1"/>
          <w:numId w:val="1"/>
        </w:numPr>
        <w:pBdr>
          <w:top w:val="nil"/>
          <w:left w:val="nil"/>
          <w:bottom w:val="nil"/>
          <w:right w:val="nil"/>
          <w:between w:val="nil"/>
        </w:pBdr>
        <w:tabs>
          <w:tab w:val="left" w:pos="623"/>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Trabalhos publicados e sua divulgação, sob qualquer forma de comunicação ou por qualquer veículo, de resultados obtidos com recursos da ação de extensão, deverão, obrigatoriamente, no idioma da divulgação, fazer menção expressa ao apoio recebido do Institu</w:t>
      </w:r>
      <w:r>
        <w:rPr>
          <w:rFonts w:ascii="Times New Roman" w:eastAsia="Times New Roman" w:hAnsi="Times New Roman" w:cs="Times New Roman"/>
          <w:sz w:val="24"/>
          <w:szCs w:val="24"/>
        </w:rPr>
        <w:t>to Federal de Goiás.</w:t>
      </w:r>
    </w:p>
    <w:p w:rsidR="007E261E" w:rsidRDefault="00F3524C" w:rsidP="00E540FA">
      <w:pPr>
        <w:numPr>
          <w:ilvl w:val="0"/>
          <w:numId w:val="1"/>
        </w:numPr>
        <w:pBdr>
          <w:top w:val="nil"/>
          <w:left w:val="nil"/>
          <w:bottom w:val="nil"/>
          <w:right w:val="nil"/>
          <w:between w:val="nil"/>
        </w:pBdr>
        <w:tabs>
          <w:tab w:val="left" w:pos="460"/>
        </w:tabs>
        <w:spacing w:before="360" w:after="120"/>
        <w:ind w:left="357" w:hanging="357"/>
        <w:rPr>
          <w:rFonts w:ascii="Times New Roman" w:eastAsia="Times New Roman" w:hAnsi="Times New Roman" w:cs="Times New Roman"/>
          <w:b/>
          <w:sz w:val="24"/>
          <w:szCs w:val="24"/>
        </w:rPr>
      </w:pPr>
      <w:r>
        <w:rPr>
          <w:rFonts w:ascii="Times New Roman" w:eastAsia="Times New Roman" w:hAnsi="Times New Roman" w:cs="Times New Roman"/>
          <w:b/>
          <w:sz w:val="24"/>
          <w:szCs w:val="24"/>
        </w:rPr>
        <w:t>DA PROPRIEDADE INTELECTUAL / CRIAÇÃO PROTEGIDA</w:t>
      </w:r>
    </w:p>
    <w:p w:rsidR="007E261E" w:rsidRDefault="00F3524C" w:rsidP="00E540FA">
      <w:pPr>
        <w:numPr>
          <w:ilvl w:val="1"/>
          <w:numId w:val="1"/>
        </w:numPr>
        <w:pBdr>
          <w:top w:val="nil"/>
          <w:left w:val="nil"/>
          <w:bottom w:val="nil"/>
          <w:right w:val="nil"/>
          <w:between w:val="nil"/>
        </w:pBdr>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Caso os resultados da ação de extensão, ou o relatório em si, venham a ter valor comercial ou possam levar ao desenvolvimento de um produto ou método envolvendo o estabelecimento de uma pa</w:t>
      </w:r>
      <w:r>
        <w:rPr>
          <w:rFonts w:ascii="Times New Roman" w:eastAsia="Times New Roman" w:hAnsi="Times New Roman" w:cs="Times New Roman"/>
          <w:sz w:val="24"/>
          <w:szCs w:val="24"/>
        </w:rPr>
        <w:t xml:space="preserve">tente, a troca de informações e a reserva dos direitos, em cada caso, dar-se-á de acordo com o estabelecido na Lei de Inovação, nº 10.973, de 2 de dezembro de 2004, regulamentada pelo Decreto nº 5.563, de 11 de outubro de 2005 e pelas normas </w:t>
      </w:r>
      <w:r>
        <w:rPr>
          <w:rFonts w:ascii="Times New Roman" w:eastAsia="Times New Roman" w:hAnsi="Times New Roman" w:cs="Times New Roman"/>
          <w:sz w:val="24"/>
          <w:szCs w:val="24"/>
        </w:rPr>
        <w:lastRenderedPageBreak/>
        <w:t>institucionais</w:t>
      </w:r>
      <w:r>
        <w:rPr>
          <w:rFonts w:ascii="Times New Roman" w:eastAsia="Times New Roman" w:hAnsi="Times New Roman" w:cs="Times New Roman"/>
          <w:sz w:val="24"/>
          <w:szCs w:val="24"/>
        </w:rPr>
        <w:t>.</w:t>
      </w:r>
    </w:p>
    <w:p w:rsidR="007E261E" w:rsidRDefault="00F3524C" w:rsidP="00E540FA">
      <w:pPr>
        <w:numPr>
          <w:ilvl w:val="0"/>
          <w:numId w:val="1"/>
        </w:numPr>
        <w:pBdr>
          <w:top w:val="nil"/>
          <w:left w:val="nil"/>
          <w:bottom w:val="nil"/>
          <w:right w:val="nil"/>
          <w:between w:val="nil"/>
        </w:pBdr>
        <w:tabs>
          <w:tab w:val="left" w:pos="623"/>
        </w:tabs>
        <w:spacing w:before="360" w:after="120"/>
        <w:ind w:left="357" w:hanging="3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ACOMPANHAMENTO</w:t>
      </w:r>
    </w:p>
    <w:p w:rsidR="007E261E" w:rsidRDefault="00F3524C" w:rsidP="00E540FA">
      <w:pPr>
        <w:numPr>
          <w:ilvl w:val="1"/>
          <w:numId w:val="1"/>
        </w:numPr>
        <w:pBdr>
          <w:top w:val="nil"/>
          <w:left w:val="nil"/>
          <w:bottom w:val="nil"/>
          <w:right w:val="nil"/>
          <w:between w:val="nil"/>
        </w:pBdr>
        <w:tabs>
          <w:tab w:val="left" w:pos="623"/>
        </w:tabs>
        <w:spacing w:before="60"/>
        <w:ind w:left="788" w:hanging="4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acompanhamento da execução dos Planos de Trabalho caberá a Pró-Reitoria de Extensão e às Gerências de Pesquisa, Pós-graduação e Extensão do Instituto Federal de Educação, Ciência e Tecnologia de Goiás.</w:t>
      </w:r>
    </w:p>
    <w:p w:rsidR="007E261E" w:rsidRDefault="00F3524C" w:rsidP="00E540FA">
      <w:pPr>
        <w:numPr>
          <w:ilvl w:val="1"/>
          <w:numId w:val="1"/>
        </w:numPr>
        <w:pBdr>
          <w:top w:val="nil"/>
          <w:left w:val="nil"/>
          <w:bottom w:val="nil"/>
          <w:right w:val="nil"/>
          <w:between w:val="nil"/>
        </w:pBdr>
        <w:tabs>
          <w:tab w:val="left" w:pos="623"/>
        </w:tabs>
        <w:spacing w:before="60"/>
        <w:ind w:left="788" w:hanging="4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Pró-Reitoria de Extensão fará a conferência da prestação de contas, mantendo-a arquivada para futuras auditorias, apensadas aos processos de acompanhamento da </w:t>
      </w:r>
      <w:r>
        <w:rPr>
          <w:rFonts w:ascii="Times New Roman" w:eastAsia="Times New Roman" w:hAnsi="Times New Roman" w:cs="Times New Roman"/>
          <w:sz w:val="24"/>
          <w:szCs w:val="24"/>
        </w:rPr>
        <w:t>execução</w:t>
      </w:r>
      <w:r>
        <w:rPr>
          <w:rFonts w:ascii="Times New Roman" w:eastAsia="Times New Roman" w:hAnsi="Times New Roman" w:cs="Times New Roman"/>
          <w:sz w:val="24"/>
          <w:szCs w:val="24"/>
        </w:rPr>
        <w:t xml:space="preserve"> das ações de extensão. </w:t>
      </w:r>
    </w:p>
    <w:p w:rsidR="007E261E" w:rsidRDefault="00F3524C" w:rsidP="00E540FA">
      <w:pPr>
        <w:numPr>
          <w:ilvl w:val="0"/>
          <w:numId w:val="1"/>
        </w:numPr>
        <w:pBdr>
          <w:top w:val="nil"/>
          <w:left w:val="nil"/>
          <w:bottom w:val="nil"/>
          <w:right w:val="nil"/>
          <w:between w:val="nil"/>
        </w:pBdr>
        <w:tabs>
          <w:tab w:val="left" w:pos="460"/>
        </w:tabs>
        <w:spacing w:before="360" w:after="120"/>
        <w:ind w:left="357" w:hanging="357"/>
        <w:rPr>
          <w:rFonts w:ascii="Times New Roman" w:eastAsia="Times New Roman" w:hAnsi="Times New Roman" w:cs="Times New Roman"/>
          <w:b/>
          <w:sz w:val="24"/>
          <w:szCs w:val="24"/>
        </w:rPr>
      </w:pPr>
      <w:r>
        <w:rPr>
          <w:rFonts w:ascii="Times New Roman" w:eastAsia="Times New Roman" w:hAnsi="Times New Roman" w:cs="Times New Roman"/>
          <w:b/>
          <w:sz w:val="24"/>
          <w:szCs w:val="24"/>
        </w:rPr>
        <w:t>DA DESISTÊNCIA E SUSPENSÃO</w:t>
      </w:r>
    </w:p>
    <w:p w:rsidR="007E261E" w:rsidRDefault="00F3524C" w:rsidP="00E540FA">
      <w:pPr>
        <w:numPr>
          <w:ilvl w:val="1"/>
          <w:numId w:val="1"/>
        </w:numPr>
        <w:pBdr>
          <w:top w:val="nil"/>
          <w:left w:val="nil"/>
          <w:bottom w:val="nil"/>
          <w:right w:val="nil"/>
          <w:between w:val="nil"/>
        </w:pBdr>
        <w:tabs>
          <w:tab w:val="left" w:pos="626"/>
        </w:tabs>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o/a extensionista desistir da execução do plano de trabalho, antes do seu início, os recursos serão devolvidos ao IFG, com justificativa plausível da desistência, no prazo de 30 (trinta) dias de seu recebimento. A não observância desse prazo implica</w:t>
      </w:r>
      <w:r>
        <w:rPr>
          <w:rFonts w:ascii="Times New Roman" w:eastAsia="Times New Roman" w:hAnsi="Times New Roman" w:cs="Times New Roman"/>
          <w:sz w:val="24"/>
          <w:szCs w:val="24"/>
        </w:rPr>
        <w:t>rá a correção do valor originalmente concedido, na forma da legislação aplicável aos débitos da Fazenda Nacional.</w:t>
      </w:r>
    </w:p>
    <w:p w:rsidR="007E261E" w:rsidRDefault="00F3524C" w:rsidP="00E540FA">
      <w:pPr>
        <w:numPr>
          <w:ilvl w:val="1"/>
          <w:numId w:val="1"/>
        </w:numPr>
        <w:pBdr>
          <w:top w:val="nil"/>
          <w:left w:val="nil"/>
          <w:bottom w:val="nil"/>
          <w:right w:val="nil"/>
          <w:between w:val="nil"/>
        </w:pBdr>
        <w:tabs>
          <w:tab w:val="left" w:pos="626"/>
        </w:tabs>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O/A extensionista deverá comunicar formalmente à GEPEX da unidade de origem qualquer descontinuidade do plano de trabalho ou da ação de extens</w:t>
      </w:r>
      <w:r>
        <w:rPr>
          <w:rFonts w:ascii="Times New Roman" w:eastAsia="Times New Roman" w:hAnsi="Times New Roman" w:cs="Times New Roman"/>
          <w:sz w:val="24"/>
          <w:szCs w:val="24"/>
        </w:rPr>
        <w:t>ão, acompanhada da devida justificativa.</w:t>
      </w:r>
    </w:p>
    <w:p w:rsidR="007E261E" w:rsidRDefault="00F3524C" w:rsidP="00E540FA">
      <w:pPr>
        <w:numPr>
          <w:ilvl w:val="2"/>
          <w:numId w:val="1"/>
        </w:numPr>
        <w:pBdr>
          <w:top w:val="nil"/>
          <w:left w:val="nil"/>
          <w:bottom w:val="nil"/>
          <w:right w:val="nil"/>
          <w:between w:val="nil"/>
        </w:pBdr>
        <w:tabs>
          <w:tab w:val="left" w:pos="626"/>
        </w:tabs>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prazo de 30 (trinta) dias da comunicação da descontinuidade, deverão ser apresentados o relatório técnico e a prestação de contas, como também deverá ser devolvido ao IFG eventual saldo financeiro.</w:t>
      </w:r>
    </w:p>
    <w:p w:rsidR="007E261E" w:rsidRDefault="00F3524C" w:rsidP="00E540FA">
      <w:pPr>
        <w:numPr>
          <w:ilvl w:val="2"/>
          <w:numId w:val="1"/>
        </w:numPr>
        <w:pBdr>
          <w:top w:val="nil"/>
          <w:left w:val="nil"/>
          <w:bottom w:val="nil"/>
          <w:right w:val="nil"/>
          <w:between w:val="nil"/>
        </w:pBdr>
        <w:tabs>
          <w:tab w:val="left" w:pos="626"/>
          <w:tab w:val="left" w:pos="1418"/>
        </w:tabs>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não observ</w:t>
      </w:r>
      <w:r>
        <w:rPr>
          <w:rFonts w:ascii="Times New Roman" w:eastAsia="Times New Roman" w:hAnsi="Times New Roman" w:cs="Times New Roman"/>
          <w:sz w:val="24"/>
          <w:szCs w:val="24"/>
        </w:rPr>
        <w:t>ância do prazo estabelecido no item 5.2.1 implicará a correção do valor originalmente concedido, na forma da legislação aplicável aos débitos da Fazenda Nacional.</w:t>
      </w:r>
    </w:p>
    <w:p w:rsidR="007E261E" w:rsidRDefault="00F3524C" w:rsidP="00E540FA">
      <w:pPr>
        <w:numPr>
          <w:ilvl w:val="1"/>
          <w:numId w:val="1"/>
        </w:numPr>
        <w:pBdr>
          <w:top w:val="nil"/>
          <w:left w:val="nil"/>
          <w:bottom w:val="nil"/>
          <w:right w:val="nil"/>
          <w:between w:val="nil"/>
        </w:pBdr>
        <w:tabs>
          <w:tab w:val="left" w:pos="626"/>
        </w:tabs>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liberação dos recursos do apoio financeiro à ação de extensão (plano de trabalho), bem como</w:t>
      </w:r>
      <w:r>
        <w:rPr>
          <w:rFonts w:ascii="Times New Roman" w:eastAsia="Times New Roman" w:hAnsi="Times New Roman" w:cs="Times New Roman"/>
          <w:sz w:val="24"/>
          <w:szCs w:val="24"/>
        </w:rPr>
        <w:t xml:space="preserve"> de quaisquer outros benefícios aprovados pelo IFG, será suspensa quando ocorrer uma das seguintes impropriedades:</w:t>
      </w:r>
    </w:p>
    <w:p w:rsidR="007E261E" w:rsidRDefault="00F3524C" w:rsidP="00E540FA">
      <w:pPr>
        <w:numPr>
          <w:ilvl w:val="2"/>
          <w:numId w:val="1"/>
        </w:numPr>
        <w:pBdr>
          <w:top w:val="nil"/>
          <w:left w:val="nil"/>
          <w:bottom w:val="nil"/>
          <w:right w:val="nil"/>
          <w:between w:val="nil"/>
        </w:pBdr>
        <w:tabs>
          <w:tab w:val="left" w:pos="626"/>
        </w:tabs>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Desvio de finalidade na utilização dos recursos adquiridos na ação de extensão.</w:t>
      </w:r>
    </w:p>
    <w:p w:rsidR="007E261E" w:rsidRDefault="00F3524C" w:rsidP="00E540FA">
      <w:pPr>
        <w:numPr>
          <w:ilvl w:val="2"/>
          <w:numId w:val="1"/>
        </w:numPr>
        <w:pBdr>
          <w:top w:val="nil"/>
          <w:left w:val="nil"/>
          <w:bottom w:val="nil"/>
          <w:right w:val="nil"/>
          <w:between w:val="nil"/>
        </w:pBdr>
        <w:tabs>
          <w:tab w:val="left" w:pos="626"/>
        </w:tabs>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Atrasos não justificados no cumprimento das etapas ou fases</w:t>
      </w:r>
      <w:r>
        <w:rPr>
          <w:rFonts w:ascii="Times New Roman" w:eastAsia="Times New Roman" w:hAnsi="Times New Roman" w:cs="Times New Roman"/>
          <w:sz w:val="24"/>
          <w:szCs w:val="24"/>
        </w:rPr>
        <w:t xml:space="preserve"> programadas na ação de extensão/plano de trabalho.</w:t>
      </w:r>
    </w:p>
    <w:p w:rsidR="007E261E" w:rsidRDefault="00F3524C" w:rsidP="00E540FA">
      <w:pPr>
        <w:numPr>
          <w:ilvl w:val="2"/>
          <w:numId w:val="1"/>
        </w:numPr>
        <w:pBdr>
          <w:top w:val="nil"/>
          <w:left w:val="nil"/>
          <w:bottom w:val="nil"/>
          <w:right w:val="nil"/>
          <w:between w:val="nil"/>
        </w:pBdr>
        <w:tabs>
          <w:tab w:val="left" w:pos="626"/>
        </w:tabs>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Quando for descumprida qualquer condição deste instrumento.</w:t>
      </w:r>
    </w:p>
    <w:p w:rsidR="007E261E" w:rsidRDefault="00F3524C" w:rsidP="00E540FA">
      <w:pPr>
        <w:numPr>
          <w:ilvl w:val="1"/>
          <w:numId w:val="1"/>
        </w:numPr>
        <w:pBdr>
          <w:top w:val="nil"/>
          <w:left w:val="nil"/>
          <w:bottom w:val="nil"/>
          <w:right w:val="nil"/>
          <w:between w:val="nil"/>
        </w:pBdr>
        <w:tabs>
          <w:tab w:val="left" w:pos="626"/>
        </w:tabs>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O/A extensionista, cuja prestação de contas e relatório técnico final da ação de extensão/plano de trabalho com vigência expirada não forem aprovados, será considerado inadimplente e terá suspenso os pagamentos, bem como a concessão de novas modalidades de</w:t>
      </w:r>
      <w:r>
        <w:rPr>
          <w:rFonts w:ascii="Times New Roman" w:eastAsia="Times New Roman" w:hAnsi="Times New Roman" w:cs="Times New Roman"/>
          <w:sz w:val="24"/>
          <w:szCs w:val="24"/>
        </w:rPr>
        <w:t xml:space="preserve"> apoio, sem prejuízo de outras medidas julgadas necessárias pelo IFG e previstas na lei.</w:t>
      </w:r>
    </w:p>
    <w:p w:rsidR="007E261E" w:rsidRDefault="00F3524C" w:rsidP="00E540FA">
      <w:pPr>
        <w:numPr>
          <w:ilvl w:val="0"/>
          <w:numId w:val="1"/>
        </w:numPr>
        <w:pBdr>
          <w:top w:val="nil"/>
          <w:left w:val="nil"/>
          <w:bottom w:val="nil"/>
          <w:right w:val="nil"/>
          <w:between w:val="nil"/>
        </w:pBdr>
        <w:tabs>
          <w:tab w:val="left" w:pos="460"/>
        </w:tabs>
        <w:spacing w:before="36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DAS DISPOSIÇÕES FINAIS</w:t>
      </w:r>
    </w:p>
    <w:p w:rsidR="007E261E" w:rsidRDefault="00F3524C" w:rsidP="00E540FA">
      <w:pPr>
        <w:numPr>
          <w:ilvl w:val="1"/>
          <w:numId w:val="1"/>
        </w:numPr>
        <w:pBdr>
          <w:top w:val="nil"/>
          <w:left w:val="nil"/>
          <w:bottom w:val="nil"/>
          <w:right w:val="nil"/>
          <w:between w:val="nil"/>
        </w:pBdr>
        <w:tabs>
          <w:tab w:val="left" w:pos="626"/>
        </w:tabs>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pessoal envolvido/</w:t>
      </w:r>
      <w:r>
        <w:rPr>
          <w:rFonts w:ascii="Times New Roman" w:eastAsia="Times New Roman" w:hAnsi="Times New Roman" w:cs="Times New Roman"/>
          <w:sz w:val="24"/>
          <w:szCs w:val="24"/>
        </w:rPr>
        <w:t>contratado</w:t>
      </w:r>
      <w:r>
        <w:rPr>
          <w:rFonts w:ascii="Times New Roman" w:eastAsia="Times New Roman" w:hAnsi="Times New Roman" w:cs="Times New Roman"/>
          <w:sz w:val="24"/>
          <w:szCs w:val="24"/>
        </w:rPr>
        <w:t xml:space="preserve"> na execução da ação de extensão, não possuirá vínculo de qualquer natureza com o IFG e deste não poderá demandar </w:t>
      </w:r>
      <w:r>
        <w:rPr>
          <w:rFonts w:ascii="Times New Roman" w:eastAsia="Times New Roman" w:hAnsi="Times New Roman" w:cs="Times New Roman"/>
          <w:sz w:val="24"/>
          <w:szCs w:val="24"/>
        </w:rPr>
        <w:t>quaisquer pagamentos, sendo estes de inteira responsabilidade do coordenador.</w:t>
      </w:r>
    </w:p>
    <w:p w:rsidR="007E261E" w:rsidRDefault="00F3524C" w:rsidP="00E540FA">
      <w:pPr>
        <w:numPr>
          <w:ilvl w:val="1"/>
          <w:numId w:val="1"/>
        </w:numPr>
        <w:pBdr>
          <w:top w:val="nil"/>
          <w:left w:val="nil"/>
          <w:bottom w:val="nil"/>
          <w:right w:val="nil"/>
          <w:between w:val="nil"/>
        </w:pBdr>
        <w:tabs>
          <w:tab w:val="left" w:pos="626"/>
        </w:tabs>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processo somente será encerrado após as aprovações do relatório técnico final e da prestação de contas, a serem entregues em até 60 (sessenta dias) após o término da vigência d</w:t>
      </w:r>
      <w:r>
        <w:rPr>
          <w:rFonts w:ascii="Times New Roman" w:eastAsia="Times New Roman" w:hAnsi="Times New Roman" w:cs="Times New Roman"/>
          <w:sz w:val="24"/>
          <w:szCs w:val="24"/>
        </w:rPr>
        <w:t xml:space="preserve">o plano de trabalho, e desde que cumpridas todas as condições previstas neste instrumento </w:t>
      </w:r>
      <w:r>
        <w:rPr>
          <w:rFonts w:ascii="Times New Roman" w:eastAsia="Times New Roman" w:hAnsi="Times New Roman" w:cs="Times New Roman"/>
          <w:sz w:val="24"/>
          <w:szCs w:val="24"/>
        </w:rPr>
        <w:lastRenderedPageBreak/>
        <w:t>e nas normas aplicáveis.</w:t>
      </w:r>
    </w:p>
    <w:p w:rsidR="007E261E" w:rsidRDefault="00F3524C" w:rsidP="00E540FA">
      <w:pPr>
        <w:numPr>
          <w:ilvl w:val="1"/>
          <w:numId w:val="1"/>
        </w:numPr>
        <w:pBdr>
          <w:top w:val="nil"/>
          <w:left w:val="nil"/>
          <w:bottom w:val="nil"/>
          <w:right w:val="nil"/>
          <w:between w:val="nil"/>
        </w:pBdr>
        <w:tabs>
          <w:tab w:val="left" w:pos="626"/>
        </w:tabs>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descumprimento de qualquer condição constante deste instrumento e a inobservância de dispositivos legais aplicáveis implicará o encerrament</w:t>
      </w:r>
      <w:r>
        <w:rPr>
          <w:rFonts w:ascii="Times New Roman" w:eastAsia="Times New Roman" w:hAnsi="Times New Roman" w:cs="Times New Roman"/>
          <w:sz w:val="24"/>
          <w:szCs w:val="24"/>
        </w:rPr>
        <w:t>o imediato do apoio financeiro aprovado e obrigará o coordenador a ressarcir integralmente o IFG de todas as despesas realizadas, atualizadas nos termos da legislação, sem prejuízo da aplicação de penalidades cabíveis.</w:t>
      </w:r>
    </w:p>
    <w:p w:rsidR="007E261E" w:rsidRDefault="00F3524C" w:rsidP="00E540FA">
      <w:pPr>
        <w:numPr>
          <w:ilvl w:val="1"/>
          <w:numId w:val="1"/>
        </w:numPr>
        <w:pBdr>
          <w:top w:val="nil"/>
          <w:left w:val="nil"/>
          <w:bottom w:val="nil"/>
          <w:right w:val="nil"/>
          <w:between w:val="nil"/>
        </w:pBdr>
        <w:tabs>
          <w:tab w:val="left" w:pos="626"/>
        </w:tabs>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recusa ou omissão do/a extensionist</w:t>
      </w:r>
      <w:r>
        <w:rPr>
          <w:rFonts w:ascii="Times New Roman" w:eastAsia="Times New Roman" w:hAnsi="Times New Roman" w:cs="Times New Roman"/>
          <w:sz w:val="24"/>
          <w:szCs w:val="24"/>
        </w:rPr>
        <w:t>a, quanto ao ressarcimento de que trata este item, ensejará a consequente abertura de tomada de contas especial e a decorrente inscrição do débito no Cadastro de Inadimplência Institucional - CADIN e do Tesouro Nacional.</w:t>
      </w:r>
    </w:p>
    <w:p w:rsidR="007E261E" w:rsidRDefault="00F3524C" w:rsidP="00E540FA">
      <w:pPr>
        <w:numPr>
          <w:ilvl w:val="1"/>
          <w:numId w:val="1"/>
        </w:numPr>
        <w:pBdr>
          <w:top w:val="nil"/>
          <w:left w:val="nil"/>
          <w:bottom w:val="nil"/>
          <w:right w:val="nil"/>
          <w:between w:val="nil"/>
        </w:pBdr>
        <w:tabs>
          <w:tab w:val="left" w:pos="626"/>
        </w:tabs>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O/A extensionista reconhece que ao </w:t>
      </w:r>
      <w:r>
        <w:rPr>
          <w:rFonts w:ascii="Times New Roman" w:eastAsia="Times New Roman" w:hAnsi="Times New Roman" w:cs="Times New Roman"/>
          <w:sz w:val="24"/>
          <w:szCs w:val="24"/>
        </w:rPr>
        <w:t>IFG, por meio da Pró-Reitoria de Extensão, compete exercer a autoridade normativa de controle e fiscalização sobre a execução da ação de extensão, bem como assumir ou transferir a responsabilidade pela mesma, no caso da paralisação ou de fato relevante que</w:t>
      </w:r>
      <w:r>
        <w:rPr>
          <w:rFonts w:ascii="Times New Roman" w:eastAsia="Times New Roman" w:hAnsi="Times New Roman" w:cs="Times New Roman"/>
          <w:sz w:val="24"/>
          <w:szCs w:val="24"/>
        </w:rPr>
        <w:t xml:space="preserve"> venha a ocorrer, de modo a evitar a descontinuidade das atividades.</w:t>
      </w:r>
    </w:p>
    <w:p w:rsidR="007E261E" w:rsidRDefault="00F3524C" w:rsidP="00E540FA">
      <w:pPr>
        <w:numPr>
          <w:ilvl w:val="1"/>
          <w:numId w:val="1"/>
        </w:numPr>
        <w:pBdr>
          <w:top w:val="nil"/>
          <w:left w:val="nil"/>
          <w:bottom w:val="nil"/>
          <w:right w:val="nil"/>
          <w:between w:val="nil"/>
        </w:pBdr>
        <w:tabs>
          <w:tab w:val="left" w:pos="626"/>
        </w:tabs>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concessão dos recursos financeiros aos extensionistas está condicionada à disponibilidade orçamentária do IFG,</w:t>
      </w:r>
      <w:r>
        <w:rPr>
          <w:rFonts w:ascii="Times New Roman" w:eastAsia="Times New Roman" w:hAnsi="Times New Roman" w:cs="Times New Roman"/>
          <w:sz w:val="24"/>
          <w:szCs w:val="24"/>
        </w:rPr>
        <w:t xml:space="preserve"> e irá ocorrer mediante a descentralização XX parcelas</w:t>
      </w:r>
      <w:r>
        <w:rPr>
          <w:rFonts w:ascii="Times New Roman" w:eastAsia="Times New Roman" w:hAnsi="Times New Roman" w:cs="Times New Roman"/>
          <w:sz w:val="24"/>
          <w:szCs w:val="24"/>
        </w:rPr>
        <w:t>.</w:t>
      </w:r>
    </w:p>
    <w:p w:rsidR="007E261E" w:rsidRDefault="00F3524C" w:rsidP="00E540FA">
      <w:pPr>
        <w:numPr>
          <w:ilvl w:val="1"/>
          <w:numId w:val="1"/>
        </w:numPr>
        <w:pBdr>
          <w:top w:val="nil"/>
          <w:left w:val="nil"/>
          <w:bottom w:val="nil"/>
          <w:right w:val="nil"/>
          <w:between w:val="nil"/>
        </w:pBdr>
        <w:tabs>
          <w:tab w:val="left" w:pos="626"/>
        </w:tabs>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casos omissos, não previstos neste </w:t>
      </w:r>
      <w:r>
        <w:rPr>
          <w:rFonts w:ascii="Times New Roman" w:eastAsia="Times New Roman" w:hAnsi="Times New Roman" w:cs="Times New Roman"/>
          <w:sz w:val="24"/>
          <w:szCs w:val="24"/>
        </w:rPr>
        <w:t>documento</w:t>
      </w:r>
      <w:r>
        <w:rPr>
          <w:rFonts w:ascii="Times New Roman" w:eastAsia="Times New Roman" w:hAnsi="Times New Roman" w:cs="Times New Roman"/>
          <w:sz w:val="24"/>
          <w:szCs w:val="24"/>
        </w:rPr>
        <w:t>, serão analisados e deliberados pela Pró-Reitoria de Extensão.</w:t>
      </w:r>
    </w:p>
    <w:p w:rsidR="007E261E" w:rsidRDefault="00F3524C" w:rsidP="00E540FA">
      <w:pPr>
        <w:numPr>
          <w:ilvl w:val="0"/>
          <w:numId w:val="1"/>
        </w:numPr>
        <w:pBdr>
          <w:top w:val="nil"/>
          <w:left w:val="nil"/>
          <w:bottom w:val="nil"/>
          <w:right w:val="nil"/>
          <w:between w:val="nil"/>
        </w:pBdr>
        <w:tabs>
          <w:tab w:val="left" w:pos="460"/>
        </w:tabs>
        <w:spacing w:before="36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ACEITE</w:t>
      </w:r>
    </w:p>
    <w:p w:rsidR="007E261E" w:rsidRDefault="00F3524C" w:rsidP="00E540FA">
      <w:pPr>
        <w:numPr>
          <w:ilvl w:val="1"/>
          <w:numId w:val="1"/>
        </w:numPr>
        <w:pBdr>
          <w:top w:val="nil"/>
          <w:left w:val="nil"/>
          <w:bottom w:val="nil"/>
          <w:right w:val="nil"/>
          <w:between w:val="nil"/>
        </w:pBdr>
        <w:tabs>
          <w:tab w:val="left" w:pos="2437"/>
          <w:tab w:val="left" w:pos="4627"/>
        </w:tabs>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Declaro conhecer, concordar e atender integralmente às exigências do edital acima especificado e às condições contidas nos regulamentos in</w:t>
      </w:r>
      <w:r>
        <w:rPr>
          <w:rFonts w:ascii="Times New Roman" w:eastAsia="Times New Roman" w:hAnsi="Times New Roman" w:cs="Times New Roman"/>
          <w:sz w:val="24"/>
          <w:szCs w:val="24"/>
        </w:rPr>
        <w:t xml:space="preserve">stitucionais. </w:t>
      </w:r>
    </w:p>
    <w:p w:rsidR="007E261E" w:rsidRDefault="00F3524C" w:rsidP="00E540FA">
      <w:pPr>
        <w:numPr>
          <w:ilvl w:val="1"/>
          <w:numId w:val="1"/>
        </w:numPr>
        <w:pBdr>
          <w:top w:val="nil"/>
          <w:left w:val="nil"/>
          <w:bottom w:val="nil"/>
          <w:right w:val="nil"/>
          <w:between w:val="nil"/>
        </w:pBdr>
        <w:tabs>
          <w:tab w:val="left" w:pos="2437"/>
          <w:tab w:val="left" w:pos="4627"/>
        </w:tabs>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Declaro ainda que li e aceitei integralmente os termos deste documento, comprometendo-me a cumpri-los fielmente, não podendo em nenhuma hipótese, deles alegar desconhecimento.</w:t>
      </w:r>
    </w:p>
    <w:p w:rsidR="007E261E" w:rsidRDefault="00F3524C" w:rsidP="00E540FA">
      <w:pPr>
        <w:numPr>
          <w:ilvl w:val="1"/>
          <w:numId w:val="1"/>
        </w:numPr>
        <w:pBdr>
          <w:top w:val="nil"/>
          <w:left w:val="nil"/>
          <w:bottom w:val="nil"/>
          <w:right w:val="nil"/>
          <w:between w:val="nil"/>
        </w:pBdr>
        <w:tabs>
          <w:tab w:val="left" w:pos="2437"/>
          <w:tab w:val="left" w:pos="4627"/>
        </w:tabs>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Declaro que sou titular da conta corrente onde será creditado o r</w:t>
      </w:r>
      <w:r>
        <w:rPr>
          <w:rFonts w:ascii="Times New Roman" w:eastAsia="Times New Roman" w:hAnsi="Times New Roman" w:cs="Times New Roman"/>
          <w:sz w:val="24"/>
          <w:szCs w:val="24"/>
        </w:rPr>
        <w:t>ecurso desta chamada, conforme os dados abaixo:</w:t>
      </w:r>
    </w:p>
    <w:p w:rsidR="007E261E" w:rsidRDefault="00F3524C" w:rsidP="00E540FA">
      <w:pPr>
        <w:pBdr>
          <w:top w:val="nil"/>
          <w:left w:val="nil"/>
          <w:bottom w:val="nil"/>
          <w:right w:val="nil"/>
          <w:between w:val="nil"/>
        </w:pBdr>
        <w:tabs>
          <w:tab w:val="left" w:pos="2437"/>
          <w:tab w:val="left" w:pos="4627"/>
        </w:tabs>
        <w:spacing w:before="144"/>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Banco:</w:t>
      </w:r>
    </w:p>
    <w:p w:rsidR="007E261E" w:rsidRDefault="00F3524C" w:rsidP="00E540FA">
      <w:pPr>
        <w:pBdr>
          <w:top w:val="nil"/>
          <w:left w:val="nil"/>
          <w:bottom w:val="nil"/>
          <w:right w:val="nil"/>
          <w:between w:val="nil"/>
        </w:pBdr>
        <w:tabs>
          <w:tab w:val="left" w:pos="2437"/>
          <w:tab w:val="left" w:pos="4627"/>
        </w:tabs>
        <w:spacing w:before="144"/>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do Titular:</w:t>
      </w:r>
    </w:p>
    <w:p w:rsidR="007E261E" w:rsidRDefault="00F3524C" w:rsidP="00E540FA">
      <w:pPr>
        <w:pBdr>
          <w:top w:val="nil"/>
          <w:left w:val="nil"/>
          <w:bottom w:val="nil"/>
          <w:right w:val="nil"/>
          <w:between w:val="nil"/>
        </w:pBdr>
        <w:tabs>
          <w:tab w:val="left" w:pos="2437"/>
          <w:tab w:val="left" w:pos="4627"/>
        </w:tabs>
        <w:spacing w:before="144"/>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CPF:</w:t>
      </w:r>
    </w:p>
    <w:p w:rsidR="007E261E" w:rsidRDefault="00F3524C" w:rsidP="00E540FA">
      <w:pPr>
        <w:pBdr>
          <w:top w:val="nil"/>
          <w:left w:val="nil"/>
          <w:bottom w:val="nil"/>
          <w:right w:val="nil"/>
          <w:between w:val="nil"/>
        </w:pBdr>
        <w:tabs>
          <w:tab w:val="left" w:pos="2437"/>
          <w:tab w:val="left" w:pos="4627"/>
        </w:tabs>
        <w:spacing w:before="144"/>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Agência:</w:t>
      </w:r>
    </w:p>
    <w:p w:rsidR="007E261E" w:rsidRDefault="00F3524C" w:rsidP="00E540FA">
      <w:pPr>
        <w:pBdr>
          <w:top w:val="nil"/>
          <w:left w:val="nil"/>
          <w:bottom w:val="nil"/>
          <w:right w:val="nil"/>
          <w:between w:val="nil"/>
        </w:pBdr>
        <w:tabs>
          <w:tab w:val="left" w:pos="2437"/>
          <w:tab w:val="left" w:pos="4627"/>
        </w:tabs>
        <w:spacing w:before="144"/>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 Corrente:</w:t>
      </w:r>
    </w:p>
    <w:p w:rsidR="007E261E" w:rsidRDefault="00F3524C" w:rsidP="00E540FA">
      <w:pPr>
        <w:pBdr>
          <w:top w:val="nil"/>
          <w:left w:val="nil"/>
          <w:bottom w:val="nil"/>
          <w:right w:val="nil"/>
          <w:between w:val="nil"/>
        </w:pBdr>
        <w:tabs>
          <w:tab w:val="left" w:pos="2437"/>
          <w:tab w:val="left" w:pos="4627"/>
        </w:tabs>
        <w:spacing w:before="144"/>
        <w:ind w:left="7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 A conta indicada deverá ser em nome do coordenador da ação, não sendo permitido conta poupança. </w:t>
      </w:r>
    </w:p>
    <w:p w:rsidR="007E261E" w:rsidRDefault="00F3524C" w:rsidP="00E540FA">
      <w:pPr>
        <w:numPr>
          <w:ilvl w:val="1"/>
          <w:numId w:val="1"/>
        </w:numPr>
        <w:pBdr>
          <w:top w:val="nil"/>
          <w:left w:val="nil"/>
          <w:bottom w:val="nil"/>
          <w:right w:val="nil"/>
          <w:between w:val="nil"/>
        </w:pBdr>
        <w:tabs>
          <w:tab w:val="left" w:pos="2437"/>
          <w:tab w:val="left" w:pos="4627"/>
        </w:tabs>
        <w:spacing w:before="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prazo para utilização dos recursos financeiros começa a vigorar a partir da data da assinatura deste Termo de Concessão e Aceitação, pelo período constante no Edital correspondente.</w:t>
      </w:r>
    </w:p>
    <w:p w:rsidR="007E261E" w:rsidRDefault="007E261E" w:rsidP="00E540FA">
      <w:pPr>
        <w:pBdr>
          <w:top w:val="nil"/>
          <w:left w:val="nil"/>
          <w:bottom w:val="nil"/>
          <w:right w:val="nil"/>
          <w:between w:val="nil"/>
        </w:pBdr>
        <w:tabs>
          <w:tab w:val="left" w:pos="567"/>
        </w:tabs>
        <w:jc w:val="both"/>
        <w:rPr>
          <w:rFonts w:ascii="Times New Roman" w:eastAsia="Times New Roman" w:hAnsi="Times New Roman" w:cs="Times New Roman"/>
          <w:color w:val="000000"/>
          <w:sz w:val="24"/>
          <w:szCs w:val="24"/>
        </w:rPr>
      </w:pPr>
    </w:p>
    <w:p w:rsidR="00E540FA" w:rsidRDefault="00E540FA" w:rsidP="00E540FA">
      <w:pPr>
        <w:jc w:val="center"/>
        <w:rPr>
          <w:color w:val="000000"/>
        </w:rPr>
      </w:pPr>
    </w:p>
    <w:p w:rsidR="00E540FA" w:rsidRDefault="00E540FA" w:rsidP="00E540FA">
      <w:pPr>
        <w:jc w:val="center"/>
        <w:rPr>
          <w:color w:val="000000"/>
        </w:rPr>
      </w:pPr>
    </w:p>
    <w:p w:rsidR="007E261E" w:rsidRDefault="00E540FA" w:rsidP="00E540FA">
      <w:pPr>
        <w:jc w:val="center"/>
        <w:rPr>
          <w:color w:val="000000"/>
        </w:rPr>
      </w:pPr>
      <w:bookmarkStart w:id="1" w:name="_GoBack"/>
      <w:bookmarkEnd w:id="1"/>
      <w:r>
        <w:rPr>
          <w:color w:val="000000"/>
        </w:rPr>
        <w:t>ASSINATURA</w:t>
      </w:r>
    </w:p>
    <w:sectPr w:rsidR="007E261E" w:rsidSect="00E540FA">
      <w:headerReference w:type="default" r:id="rId8"/>
      <w:pgSz w:w="11910" w:h="16840"/>
      <w:pgMar w:top="1276" w:right="1278" w:bottom="709" w:left="993"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24C" w:rsidRDefault="00F3524C">
      <w:r>
        <w:separator/>
      </w:r>
    </w:p>
  </w:endnote>
  <w:endnote w:type="continuationSeparator" w:id="0">
    <w:p w:rsidR="00F3524C" w:rsidRDefault="00F3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horndale A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24C" w:rsidRDefault="00F3524C">
      <w:r>
        <w:separator/>
      </w:r>
    </w:p>
  </w:footnote>
  <w:footnote w:type="continuationSeparator" w:id="0">
    <w:p w:rsidR="00F3524C" w:rsidRDefault="00F352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1E" w:rsidRDefault="007E261E">
    <w:pPr>
      <w:pBdr>
        <w:top w:val="nil"/>
        <w:left w:val="nil"/>
        <w:bottom w:val="nil"/>
        <w:right w:val="nil"/>
        <w:between w:val="nil"/>
      </w:pBdr>
      <w:spacing w:line="276" w:lineRule="auto"/>
      <w:rPr>
        <w:color w:val="000000"/>
      </w:rPr>
    </w:pPr>
  </w:p>
  <w:tbl>
    <w:tblPr>
      <w:tblStyle w:val="a0"/>
      <w:tblW w:w="9495" w:type="dxa"/>
      <w:tblInd w:w="0" w:type="dxa"/>
      <w:tblLayout w:type="fixed"/>
      <w:tblLook w:val="0400" w:firstRow="0" w:lastRow="0" w:firstColumn="0" w:lastColumn="0" w:noHBand="0" w:noVBand="1"/>
    </w:tblPr>
    <w:tblGrid>
      <w:gridCol w:w="2622"/>
      <w:gridCol w:w="6873"/>
    </w:tblGrid>
    <w:tr w:rsidR="007E261E">
      <w:trPr>
        <w:trHeight w:val="149"/>
      </w:trPr>
      <w:tc>
        <w:tcPr>
          <w:tcW w:w="2622" w:type="dxa"/>
          <w:vAlign w:val="center"/>
        </w:tcPr>
        <w:p w:rsidR="007E261E" w:rsidRDefault="00F3524C">
          <w:pPr>
            <w:rPr>
              <w:rFonts w:ascii="Thorndale AMT" w:eastAsia="Thorndale AMT" w:hAnsi="Thorndale AMT" w:cs="Thorndale AMT"/>
              <w:sz w:val="28"/>
              <w:szCs w:val="28"/>
            </w:rPr>
          </w:pPr>
          <w:r>
            <w:rPr>
              <w:noProof/>
              <w:lang w:val="pt-BR" w:eastAsia="pt-BR" w:bidi="ar-SA"/>
            </w:rPr>
            <w:drawing>
              <wp:anchor distT="0" distB="0" distL="114935" distR="114935" simplePos="0" relativeHeight="251658240" behindDoc="0" locked="0" layoutInCell="1" hidden="0" allowOverlap="1">
                <wp:simplePos x="0" y="0"/>
                <wp:positionH relativeFrom="column">
                  <wp:posOffset>-88265</wp:posOffset>
                </wp:positionH>
                <wp:positionV relativeFrom="paragraph">
                  <wp:posOffset>-225425</wp:posOffset>
                </wp:positionV>
                <wp:extent cx="2042160" cy="601980"/>
                <wp:effectExtent l="0" t="0" r="0" b="762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42160" cy="601980"/>
                        </a:xfrm>
                        <a:prstGeom prst="rect">
                          <a:avLst/>
                        </a:prstGeom>
                        <a:ln/>
                      </pic:spPr>
                    </pic:pic>
                  </a:graphicData>
                </a:graphic>
                <wp14:sizeRelH relativeFrom="margin">
                  <wp14:pctWidth>0</wp14:pctWidth>
                </wp14:sizeRelH>
                <wp14:sizeRelV relativeFrom="margin">
                  <wp14:pctHeight>0</wp14:pctHeight>
                </wp14:sizeRelV>
              </wp:anchor>
            </w:drawing>
          </w:r>
        </w:p>
      </w:tc>
      <w:tc>
        <w:tcPr>
          <w:tcW w:w="6873" w:type="dxa"/>
          <w:vAlign w:val="center"/>
        </w:tcPr>
        <w:p w:rsidR="007E261E" w:rsidRDefault="00F3524C" w:rsidP="00E540FA">
          <w:pPr>
            <w:pBdr>
              <w:top w:val="nil"/>
              <w:left w:val="nil"/>
              <w:bottom w:val="nil"/>
              <w:right w:val="nil"/>
              <w:between w:val="nil"/>
            </w:pBdr>
            <w:tabs>
              <w:tab w:val="center" w:pos="4252"/>
              <w:tab w:val="right" w:pos="8504"/>
            </w:tabs>
            <w:ind w:left="709"/>
            <w:jc w:val="center"/>
            <w:rPr>
              <w:color w:val="000000"/>
              <w:sz w:val="18"/>
              <w:szCs w:val="18"/>
            </w:rPr>
          </w:pPr>
          <w:r>
            <w:rPr>
              <w:color w:val="000000"/>
              <w:sz w:val="18"/>
              <w:szCs w:val="18"/>
            </w:rPr>
            <w:t>Ministério da Educação</w:t>
          </w:r>
        </w:p>
        <w:p w:rsidR="007E261E" w:rsidRDefault="00F3524C" w:rsidP="00E540FA">
          <w:pPr>
            <w:pBdr>
              <w:top w:val="nil"/>
              <w:left w:val="nil"/>
              <w:bottom w:val="nil"/>
              <w:right w:val="nil"/>
              <w:between w:val="nil"/>
            </w:pBdr>
            <w:tabs>
              <w:tab w:val="center" w:pos="4252"/>
              <w:tab w:val="right" w:pos="8504"/>
            </w:tabs>
            <w:ind w:left="709"/>
            <w:jc w:val="center"/>
            <w:rPr>
              <w:color w:val="000000"/>
              <w:sz w:val="18"/>
              <w:szCs w:val="18"/>
            </w:rPr>
          </w:pPr>
          <w:r>
            <w:rPr>
              <w:color w:val="000000"/>
              <w:sz w:val="18"/>
              <w:szCs w:val="18"/>
            </w:rPr>
            <w:t>Secretaria de Educação Profissional e Tecnológica</w:t>
          </w:r>
        </w:p>
        <w:p w:rsidR="007E261E" w:rsidRDefault="00F3524C" w:rsidP="00E540FA">
          <w:pPr>
            <w:pBdr>
              <w:top w:val="nil"/>
              <w:left w:val="nil"/>
              <w:bottom w:val="nil"/>
              <w:right w:val="nil"/>
              <w:between w:val="nil"/>
            </w:pBdr>
            <w:tabs>
              <w:tab w:val="center" w:pos="4252"/>
              <w:tab w:val="right" w:pos="8504"/>
            </w:tabs>
            <w:ind w:left="709"/>
            <w:jc w:val="center"/>
            <w:rPr>
              <w:color w:val="000000"/>
              <w:sz w:val="18"/>
              <w:szCs w:val="18"/>
            </w:rPr>
          </w:pPr>
          <w:r>
            <w:rPr>
              <w:color w:val="000000"/>
              <w:sz w:val="18"/>
              <w:szCs w:val="18"/>
            </w:rPr>
            <w:t>Instituto Federal de Educação, Ciência e Tecnologia de Goiás</w:t>
          </w:r>
        </w:p>
        <w:p w:rsidR="007E261E" w:rsidRDefault="00F3524C" w:rsidP="00E540FA">
          <w:pPr>
            <w:ind w:left="709"/>
            <w:jc w:val="center"/>
            <w:rPr>
              <w:sz w:val="18"/>
              <w:szCs w:val="18"/>
            </w:rPr>
          </w:pPr>
          <w:r>
            <w:rPr>
              <w:sz w:val="18"/>
              <w:szCs w:val="18"/>
            </w:rPr>
            <w:t>Pró-Reitoria de Extensão</w:t>
          </w:r>
        </w:p>
      </w:tc>
    </w:tr>
  </w:tbl>
  <w:p w:rsidR="007E261E" w:rsidRDefault="007E261E">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069AE"/>
    <w:multiLevelType w:val="multilevel"/>
    <w:tmpl w:val="2732F98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1E"/>
    <w:rsid w:val="007E261E"/>
    <w:rsid w:val="00BA37DA"/>
    <w:rsid w:val="00E540FA"/>
    <w:rsid w:val="00F352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7ADF9"/>
  <w15:docId w15:val="{3CC94125-912A-4140-84AE-A7A14C78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879"/>
    <w:pPr>
      <w:autoSpaceDE w:val="0"/>
      <w:autoSpaceDN w:val="0"/>
    </w:pPr>
    <w:rPr>
      <w:lang w:eastAsia="pt-PT" w:bidi="pt-PT"/>
    </w:rPr>
  </w:style>
  <w:style w:type="paragraph" w:styleId="Ttulo1">
    <w:name w:val="heading 1"/>
    <w:basedOn w:val="Normal"/>
    <w:link w:val="Ttulo1Char"/>
    <w:uiPriority w:val="1"/>
    <w:qFormat/>
    <w:rsid w:val="008F0879"/>
    <w:pPr>
      <w:ind w:left="580" w:hanging="248"/>
      <w:outlineLvl w:val="0"/>
    </w:pPr>
    <w:rPr>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1"/>
    <w:rsid w:val="008F0879"/>
    <w:rPr>
      <w:rFonts w:ascii="Arial" w:eastAsia="Arial" w:hAnsi="Arial" w:cs="Arial"/>
      <w:b/>
      <w:bCs/>
      <w:lang w:val="pt-PT" w:eastAsia="pt-PT" w:bidi="pt-PT"/>
    </w:rPr>
  </w:style>
  <w:style w:type="paragraph" w:styleId="Corpodetexto">
    <w:name w:val="Body Text"/>
    <w:basedOn w:val="Normal"/>
    <w:link w:val="CorpodetextoChar"/>
    <w:uiPriority w:val="1"/>
    <w:qFormat/>
    <w:rsid w:val="008F0879"/>
    <w:pPr>
      <w:ind w:left="333"/>
      <w:jc w:val="both"/>
    </w:pPr>
  </w:style>
  <w:style w:type="character" w:customStyle="1" w:styleId="CorpodetextoChar">
    <w:name w:val="Corpo de texto Char"/>
    <w:basedOn w:val="Fontepargpadro"/>
    <w:link w:val="Corpodetexto"/>
    <w:uiPriority w:val="1"/>
    <w:rsid w:val="008F0879"/>
    <w:rPr>
      <w:rFonts w:ascii="Arial" w:eastAsia="Arial" w:hAnsi="Arial" w:cs="Arial"/>
      <w:lang w:val="pt-PT" w:eastAsia="pt-PT" w:bidi="pt-PT"/>
    </w:rPr>
  </w:style>
  <w:style w:type="paragraph" w:styleId="PargrafodaLista">
    <w:name w:val="List Paragraph"/>
    <w:basedOn w:val="Normal"/>
    <w:uiPriority w:val="1"/>
    <w:qFormat/>
    <w:rsid w:val="008F0879"/>
    <w:pPr>
      <w:ind w:left="333"/>
      <w:jc w:val="both"/>
    </w:pPr>
  </w:style>
  <w:style w:type="paragraph" w:styleId="Cabealho">
    <w:name w:val="header"/>
    <w:basedOn w:val="Normal"/>
    <w:link w:val="CabealhoChar"/>
    <w:unhideWhenUsed/>
    <w:rsid w:val="008F0879"/>
    <w:pPr>
      <w:tabs>
        <w:tab w:val="center" w:pos="4252"/>
        <w:tab w:val="right" w:pos="8504"/>
      </w:tabs>
    </w:pPr>
  </w:style>
  <w:style w:type="character" w:customStyle="1" w:styleId="CabealhoChar">
    <w:name w:val="Cabeçalho Char"/>
    <w:basedOn w:val="Fontepargpadro"/>
    <w:link w:val="Cabealho"/>
    <w:rsid w:val="008F0879"/>
    <w:rPr>
      <w:rFonts w:ascii="Arial" w:eastAsia="Arial" w:hAnsi="Arial" w:cs="Arial"/>
      <w:lang w:val="pt-PT" w:eastAsia="pt-PT" w:bidi="pt-PT"/>
    </w:rPr>
  </w:style>
  <w:style w:type="paragraph" w:customStyle="1" w:styleId="Ttulo21">
    <w:name w:val="Título 21"/>
    <w:basedOn w:val="Normal"/>
    <w:uiPriority w:val="1"/>
    <w:qFormat/>
    <w:rsid w:val="008F0879"/>
    <w:pPr>
      <w:ind w:left="459" w:hanging="222"/>
      <w:outlineLvl w:val="2"/>
    </w:pPr>
    <w:rPr>
      <w:rFonts w:ascii="Times New Roman" w:eastAsia="Times New Roman" w:hAnsi="Times New Roman" w:cs="Times New Roman"/>
      <w:b/>
      <w:bCs/>
      <w:lang w:eastAsia="en-US" w:bidi="ar-SA"/>
    </w:rPr>
  </w:style>
  <w:style w:type="paragraph" w:styleId="Rodap">
    <w:name w:val="footer"/>
    <w:basedOn w:val="Normal"/>
    <w:link w:val="RodapChar"/>
    <w:uiPriority w:val="99"/>
    <w:unhideWhenUsed/>
    <w:rsid w:val="008F0879"/>
    <w:pPr>
      <w:tabs>
        <w:tab w:val="center" w:pos="4252"/>
        <w:tab w:val="right" w:pos="8504"/>
      </w:tabs>
    </w:pPr>
  </w:style>
  <w:style w:type="character" w:customStyle="1" w:styleId="RodapChar">
    <w:name w:val="Rodapé Char"/>
    <w:basedOn w:val="Fontepargpadro"/>
    <w:link w:val="Rodap"/>
    <w:uiPriority w:val="99"/>
    <w:rsid w:val="008F0879"/>
    <w:rPr>
      <w:rFonts w:ascii="Arial" w:eastAsia="Arial" w:hAnsi="Arial" w:cs="Arial"/>
      <w:lang w:val="pt-PT" w:eastAsia="pt-PT" w:bidi="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JFe3atZKZBcrDKBjfr7Wpl1YuA==">AMUW2mXRh5vOJwJzyMUVltYzd+Jb+SSLunCs1gEAprFBAHRGs4HHgxlrM6tz1Y56hwKwPRAHL9bNvPZPDgLyYZM4mOCydIJL2MKGXwztO8v8/pptcyerxcZ8PP6CkD39FbCX6DC+M3yG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1192</Words>
  <Characters>6441</Characters>
  <Application>Microsoft Office Word</Application>
  <DocSecurity>0</DocSecurity>
  <Lines>53</Lines>
  <Paragraphs>15</Paragraphs>
  <ScaleCrop>false</ScaleCrop>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dc:creator>
  <cp:lastModifiedBy>vinicius</cp:lastModifiedBy>
  <cp:revision>3</cp:revision>
  <dcterms:created xsi:type="dcterms:W3CDTF">2021-04-22T14:26:00Z</dcterms:created>
  <dcterms:modified xsi:type="dcterms:W3CDTF">2021-08-11T19:15:00Z</dcterms:modified>
</cp:coreProperties>
</file>